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30" w:rsidRPr="009D4C30" w:rsidRDefault="009D4C30" w:rsidP="009D4C30">
      <w:pPr>
        <w:pBdr>
          <w:bottom w:val="single" w:sz="6" w:space="7" w:color="EEEEEE"/>
        </w:pBdr>
        <w:shd w:val="clear" w:color="auto" w:fill="FFFFFF"/>
        <w:spacing w:before="600" w:after="30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</w:pPr>
      <w:r w:rsidRPr="009D4C30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  <w:t>Кто и как устанавливает тариф за содержание жилья?</w:t>
      </w:r>
    </w:p>
    <w:p w:rsidR="009D4C30" w:rsidRPr="009D4C30" w:rsidRDefault="009D4C30" w:rsidP="009D4C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4C3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Порядок установления платы за содержание жилья для собственников жилых помещений устанавливается статьей 156 Жилищного кодекса РФ, пунктами 31, 32, 33, 34 Постановления Правительства РФ № 491 от 13 августа 2006 года. Оба этих документа регламентируют, что:</w:t>
      </w:r>
      <w:r w:rsidRPr="009D4C3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D4C3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Размер платы за содержание и ремонт жилого помещения собственников, выбравших способ управления – управляющую организацию для управления своим многоквартирным домом принимается решением общего собрания собственников в таком доме на срок не менее чем один год с учетом предложений управляющей организации. Предложения управляющей организации о перечне, объемах и качестве услуг и работ должны учитывать состав, конструктивные особенности, степень физического износа и технического состояния общего имущества конкретного дома.</w:t>
      </w:r>
    </w:p>
    <w:p w:rsidR="00437933" w:rsidRDefault="00437933">
      <w:bookmarkStart w:id="0" w:name="_GoBack"/>
      <w:bookmarkEnd w:id="0"/>
    </w:p>
    <w:sectPr w:rsidR="00437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44"/>
    <w:rsid w:val="00437933"/>
    <w:rsid w:val="009D4C30"/>
    <w:rsid w:val="00FB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4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4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3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2018-06-30T08:59:00Z</dcterms:created>
  <dcterms:modified xsi:type="dcterms:W3CDTF">2018-06-30T08:59:00Z</dcterms:modified>
</cp:coreProperties>
</file>